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12026_090707.xml.htm"/>
      <w:bookmarkStart w:id="1" w:name="ksform307212026_09070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Crystal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6020 RUSS BAKER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V7B 1B4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General Fusion Group Ltd.</w:t>
              </w:r>
            </w:hyperlink>
            <w:r>
              <w:rPr/>
              <w:t xml:space="preserve"> [ </w:t>
            </w:r>
            <w:r>
              <w:rPr>
                <w:rFonts w:ascii="Times;serif" w:hAnsi="Times;serif"/>
                <w:color w:val="0000FF"/>
                <w:sz w:val="24"/>
                <w:shd w:fill="FFFFFF" w:val="clear"/>
              </w:rPr>
              <w:t>GFUZ</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VP, Finance</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21,919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11,972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2,857</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217,075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116,293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3,089</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24,227</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45,223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Shares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4,563</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vested as to 25% of the underlying shares on the first anniversary of the original date of grant by General Fusion Inc. (the "Legacy Company"), or in the case of Earnout Options, the first anniversary of the original date of grant of the associated option award, with the remaining shares vesting in 12 substantially equal quarterly installments thereafter. All underlying shares that vested prior to the closing of the Legacy Company's business combination with Spring Valley Acquisition Corp. III (the "Business Combination") remained vested following their exchange for options of General Fusion Group Ltd. (the "Company"), and the Earnout Options associated with each option award retained the vesting history of the associated option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vested as to 25% of the underlying shares on the original date of grant by the Legacy Company, or in the case of Earnout Options, the original date of grant of the associated option award, and 25% of the remaining shares will vest on the first anniversary of the original date of grant, or in the case of Earnout Options, the first anniversary of the original date of grant of the associated option award, with the remaining shares vesting in twelve substantially equal quarterly installments thereafter. All underlying shares that vested prior to the closing of the Business Combination remained vested following their exchange for options of the Company, and the Earnout Options associated with each option award retained the vesting history of the associated option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vest as to 25% of the underlying shares on the first anniversary of the original date of grant by the Legacy Company, or in the case of Earnout Options, the first anniversary of the original date of grant of the associated option award, with the remaining shares vesting in 12 substantially equal quarterly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Earnout Shares, including the Earnout Shares underlying the Earnout Options, consist of a substantially equal number of Class A Earnout Shares, Class B Earnout Shares, and Class C Earnout Shares, which will automatically convert into common shares of the Company if, on or before July 10, 2031, the volume weighted average price of the Company's common shares equals or exceeds each of $15.00, $20.00 and $25.00, respectively, for any 20 trading days within any period of 30 consecutive trading days.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Griffin D. Foster, as attorney-in-fact for Robert J. Crystal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212026_090708.htm"/>
      <w:bookmarkStart w:id="3" w:name="ksex2407212026_090708"/>
      <w:bookmarkStart w:id="4" w:name="ex24-07212026_090708.htm"/>
      <w:bookmarkStart w:id="5" w:name="ksex2407212026_090708"/>
      <w:bookmarkEnd w:id="4"/>
      <w:bookmarkEnd w:id="5"/>
      <w:r>
        <w:br w:type="page"/>
      </w:r>
    </w:p>
    <w:p>
      <w:pPr>
        <w:pStyle w:val="TextBody"/>
        <w:bidi w:val="0"/>
        <w:spacing w:before="0" w:after="195"/>
        <w:jc w:val="center"/>
        <w:rPr>
          <w:b/>
        </w:rPr>
      </w:pPr>
      <w:r>
        <w:rPr>
          <w:b/>
        </w:rPr>
        <w:t>POWER OF ATTORNEY</w:t>
      </w:r>
    </w:p>
    <w:p>
      <w:pPr>
        <w:pStyle w:val="TextBody"/>
        <w:bidi w:val="0"/>
        <w:spacing w:before="0" w:after="0"/>
        <w:ind w:left="0" w:right="0" w:firstLine="720"/>
        <w:jc w:val="both"/>
        <w:rPr/>
      </w:pPr>
      <w:r>
        <w:rPr/>
        <w:t>Know all by these presents, that the undersigned hereby makes, constitutes and appoints each of Ben A. Stacke, Griffin D. Foster, Yona E. Isaacs, Amanda M. Ibrahim, Kareem S. Tawfic, Caroline E. Keefe, Amra Hoso and RoxAnn D. Mack, with full power of substitution and re-substitution, acting individually, as the undersigned’s true and lawful attorney-in-fact (each of such persons and their substitutes hereafter referred to as an “</w:t>
      </w:r>
      <w:r>
        <w:rPr>
          <w:i/>
        </w:rPr>
        <w:t>Attorney-in-Fact</w:t>
      </w:r>
      <w:r>
        <w:rPr/>
        <w:t>”), with full power and authority as hereinafter described on behalf of and in the undersigned’s name, place and stead, in any and all capacities to:</w:t>
      </w:r>
    </w:p>
    <w:p>
      <w:pPr>
        <w:pStyle w:val="TextBody"/>
        <w:pBdr/>
        <w:bidi w:val="0"/>
        <w:spacing w:before="0" w:after="0"/>
        <w:ind w:left="0" w:right="0" w:hanging="30"/>
        <w:jc w:val="both"/>
        <w:rPr/>
      </w:pPr>
      <w:r>
        <w:rPr/>
        <w:t>take such actions as may be necessary or appropriate to enable the undersigned to submit and file forms, schedules, and other documents with the U.S. Securities and Exchange Commission (“</w:t>
      </w:r>
      <w:r>
        <w:rPr>
          <w:i/>
        </w:rPr>
        <w:t>SEC</w:t>
      </w:r>
      <w:r>
        <w:rPr/>
        <w:t>”) via the Electronic Data Gathering and Retrieval (“</w:t>
      </w:r>
      <w:r>
        <w:rPr>
          <w:i/>
        </w:rPr>
        <w:t>EDGAR</w:t>
      </w:r>
      <w:r>
        <w:rPr/>
        <w:t>”) system, which actions may include (a) preparing, executing, and submitting to the SEC a Form ID, amendments thereto, and such other documents and other information as may be necessary or appropriate to obtain all necessary credentials (including codes or passwords) enabling filings and submissions on behalf of the undersigned via the EDGAR system, (b) acting as an account administrator for the undersigned’s EDGAR account, (c) delegating to General Fusion Group Ltd. (the “</w:t>
      </w:r>
      <w:r>
        <w:rPr>
          <w:i/>
        </w:rPr>
        <w:t>Company</w:t>
      </w:r>
      <w:r>
        <w:rPr/>
        <w:t>”) and other appropriate entities authority from the undersigned’s EDGAR account, and (d) taking any other actions contemplated by Rule 10 of Regulation ST;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pPr>
      <w:r>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Securities Exchange Act of 1934, as amended (the “</w:t>
      </w:r>
      <w:r>
        <w:rPr>
          <w:i/>
        </w:rPr>
        <w:t>Exchange Act</w:t>
      </w:r>
      <w:r>
        <w:rPr/>
        <w:t>”) the rules and regulations promulgated thereunder, and Forms 144 in accordance with Rule 144 under the Securities Act of 1933, as amended (the “</w:t>
      </w:r>
      <w:r>
        <w:rPr>
          <w:i/>
        </w:rPr>
        <w:t>Securities Act</w:t>
      </w:r>
      <w:r>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0"/>
        <w:ind w:left="0" w:right="0" w:hanging="30"/>
        <w:jc w:val="both"/>
        <w:rPr/>
      </w:pPr>
      <w:r>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0"/>
        <w:ind w:left="0" w:right="0" w:hanging="30"/>
        <w:jc w:val="both"/>
        <w:rPr/>
      </w:pPr>
      <w:r>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Power of Attorney will be in such form and will contain such disclosure, information, terms and conditions as such Attorney-in-Fact, in such Attorney-in-Fact’s sole discretion, deems necessary or advisable.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bidi w:val="0"/>
        <w:spacing w:before="0" w:after="195"/>
        <w:jc w:val="both"/>
        <w:rPr/>
      </w:pPr>
      <w:r>
        <w:rPr/>
      </w:r>
    </w:p>
    <w:p>
      <w:pPr>
        <w:pStyle w:val="TextBody"/>
        <w:bidi w:val="0"/>
        <w:spacing w:before="60" w:after="0"/>
        <w:jc w:val="left"/>
        <w:rPr>
          <w:sz w:val="12"/>
        </w:rPr>
      </w:pPr>
      <w:r>
        <w:rPr>
          <w:sz w:val="12"/>
        </w:rPr>
        <w:t>DMS_US.377864747.1 - 7/1/2026 11:18:41 AM</w:t>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bidi w:val="0"/>
        <w:spacing w:before="0" w:after="195"/>
        <w:jc w:val="both"/>
        <w:rPr/>
      </w:pPr>
      <w:r>
        <w:rPr/>
        <w:t>The undersigned hereby acknowledges that (a) the foregoing Attorneys-in-Fact are serving in such capacity at the request of the undersigned; (b) this Power of Attorney authorizes, but does not require, each such Attorney-in-Fact to act in the Attorney-in-Fact’s discretion on information provided to such Attorney-in-Fact without independent verification of such information; (c) none of the Company, each Attorney-in-Fact, and any law firm of which an Attorney-in-Fact is an employee or member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Power of Attorney does not relieve the undersigned from responsibility for compliance with any of the undersigned’s beneficial ownership and other reporting obligations under the Exchange Act and the Securities Act.</w:t>
      </w:r>
    </w:p>
    <w:p>
      <w:pPr>
        <w:pStyle w:val="TextBody"/>
        <w:bidi w:val="0"/>
        <w:spacing w:before="0" w:after="195"/>
        <w:jc w:val="both"/>
        <w:rPr/>
      </w:pPr>
      <w:r>
        <w:rPr/>
        <w:t>This Power of Attorney will remain in full force and effect until the undersigned is no longer required to file with the SEC reports or notices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Biddle &amp; Reath LLP, then this Power of Attorney will be automatically revoked solely as to such individual, immediately upon such cessation, without any further action by the undersigned.</w:t>
      </w:r>
    </w:p>
    <w:p>
      <w:pPr>
        <w:pStyle w:val="TextBody"/>
        <w:bidi w:val="0"/>
        <w:spacing w:before="0" w:after="390"/>
        <w:jc w:val="both"/>
        <w:rPr/>
      </w:pPr>
      <w:r>
        <w:rPr/>
        <w:t>IN WITNESS WHEREOF, the undersigned has caused this Power of Attorney to be executed as of July 2, 2026.</w:t>
      </w:r>
    </w:p>
    <w:p>
      <w:pPr>
        <w:pStyle w:val="TextBody"/>
        <w:pBdr/>
        <w:bidi w:val="0"/>
        <w:spacing w:before="0" w:after="0"/>
        <w:ind w:left="0" w:right="0" w:hanging="30"/>
        <w:jc w:val="both"/>
        <w:rPr>
          <w:u w:val="single"/>
        </w:rPr>
      </w:pPr>
      <w:r>
        <w:rPr>
          <w:u w:val="single"/>
        </w:rPr>
        <w:t>/s/ Robert J. Crystal</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715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571500" cy="350520"/>
                        </a:xfrm>
                        <a:prstGeom prst="rect"/>
                        <a:solidFill>
                          <a:srgbClr val="FFFFFF"/>
                        </a:solidFill>
                      </wps:spPr>
                      <wps:txbx>
                        <w:txbxContent>
                          <w:p>
                            <w:pPr>
                              <w:pStyle w:val="TextBody"/>
                              <w:bidi w:val="0"/>
                              <w:spacing w:before="0" w:after="283"/>
                              <w:jc w:val="left"/>
                              <w:rPr/>
                            </w:pPr>
                            <w:r>
                              <w:rPr/>
                              <w:t>Signature:</w:t>
                            </w:r>
                          </w:p>
                        </w:txbxContent>
                      </wps:txbx>
                      <wps:bodyPr anchor="t" lIns="0" tIns="0" rIns="0" bIns="0">
                        <a:noAutofit/>
                      </wps:bodyPr>
                    </wps:wsp>
                  </a:graphicData>
                </a:graphic>
              </wp:anchor>
            </w:drawing>
          </mc:Choice>
          <mc:Fallback>
            <w:pict>
              <v:rect style="position:absolute;rotation:-0;width: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Signature:</w:t>
                      </w:r>
                    </w:p>
                  </w:txbxContent>
                </v:textbox>
                <w10:wrap type="square" side="right"/>
              </v:rect>
            </w:pict>
          </mc:Fallback>
        </mc:AlternateContent>
      </w:r>
    </w:p>
    <w:p>
      <w:pPr>
        <w:pStyle w:val="TextBody"/>
        <w:pBdr/>
        <w:bidi w:val="0"/>
        <w:spacing w:before="0" w:after="390"/>
        <w:ind w:left="0" w:right="0" w:hanging="30"/>
        <w:jc w:val="both"/>
        <w:rPr/>
      </w:pPr>
      <w:r>
        <w:rPr/>
        <w:t>Robert J. Crystal</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715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bidi w:val="0"/>
        <w:spacing w:before="0" w:after="195"/>
        <w:jc w:val="both"/>
        <w:rPr/>
      </w:pPr>
      <w:r>
        <w:rPr/>
        <w:t>Province of British Columbia, Canada</w:t>
      </w:r>
    </w:p>
    <w:p>
      <w:pPr>
        <w:pStyle w:val="TextBody"/>
        <w:bidi w:val="0"/>
        <w:spacing w:before="0" w:after="390"/>
        <w:jc w:val="both"/>
        <w:rPr/>
      </w:pPr>
      <w:r>
        <w:rPr/>
        <w:t>This instrument was acknowledged before me on July 2, 2026 by Robert J. Crystal.</w:t>
      </w:r>
    </w:p>
    <w:p>
      <w:pPr>
        <w:pStyle w:val="TextBody"/>
        <w:pBdr/>
        <w:bidi w:val="0"/>
        <w:spacing w:before="0" w:after="0"/>
        <w:ind w:left="0" w:right="0" w:hanging="0"/>
        <w:jc w:val="both"/>
        <w:rPr>
          <w:u w:val="single"/>
        </w:rPr>
      </w:pPr>
      <w:r>
        <w:rPr>
          <w:u w:val="single"/>
        </w:rPr>
        <w:t>M. Joanna Cameron</w:t>
      </w:r>
    </w:p>
    <w:p>
      <w:pPr>
        <w:pStyle w:val="TextBody"/>
        <w:pBdr/>
        <w:bidi w:val="0"/>
        <w:spacing w:before="0" w:after="390"/>
        <w:jc w:val="both"/>
        <w:rPr/>
      </w:pPr>
      <w:r>
        <w:rPr/>
        <w:t>Notary Public</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076" TargetMode="External"/><Relationship Id="rId3" Type="http://schemas.openxmlformats.org/officeDocument/2006/relationships/hyperlink" Target="http://www.sec.gov/cgi-bin/browse-edgar?action=getcompany&amp;CIK=000207485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1877</Words>
  <Characters>10116</Characters>
  <CharactersWithSpaces>11832</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