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12026_090749.xml.htm"/>
      <w:bookmarkStart w:id="1" w:name="ksform307212026_09074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Laberge Michel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6020 RUSS BAKER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V7B 1B4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General Fusion Group Ltd.</w:t>
              </w:r>
            </w:hyperlink>
            <w:r>
              <w:rPr/>
              <w:t xml:space="preserve"> [ </w:t>
            </w:r>
            <w:r>
              <w:rPr>
                <w:rFonts w:ascii="Times;serif" w:hAnsi="Times;serif"/>
                <w:color w:val="0000FF"/>
                <w:sz w:val="24"/>
                <w:shd w:fill="FFFFFF" w:val="clear"/>
              </w:rPr>
              <w:t>GFUZ</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Founder and CSO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126,978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116,052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Ltd.</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109,706</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116,293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68,408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38,478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22,855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Shares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Shares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24,174</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Ltd.</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vested as to 25% of the underlying shares on the first anniversary of the original date of grant by General Fusion Inc. (the "Legacy Company"), or in the case of Earnout Options, the first anniversary of the original date of grant of the associated option award, with the remaining shares vesting in 12 substantially equal quarterly installments thereafter. All underlying shares that vested prior to the closing of the Legacy Company's business combination with Spring Valley Acquisition Corp. III (the "Business Combination") remained vested following their exchange for options of General Fusion Group Ltd. (the "Company"), and the Earnout Options associated with each option award retained the vesting history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vested as to 25% of the underlying shares on the original date of grant by the Legacy Company, or in the case of Earnout Options, the original date of grant of the associated option award, and 25% of the remaining shares will vest on the first anniversary of the original date of grant, or in the case of Earnout Options, the first anniversary of the original date of grant of the associated option award, with the remaining shares vesting in twelve substantially equal quarterly installments thereafter. All underlying shares that vested prior to the closing of the Business Combination remained vested following their exchange for options of the Company, and the Earnout Options associated with each option award retained the vesting history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vest as to 25% of the underlying shares on the first anniversary of the original date of grant by the Legacy Company, or in the case of Earnout Options, the first anniversary of the original date of grant of the associated option award, with the remaining shares vesting in 12 substantially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Earnout Shares, including the Earnout Shares underlying the Earnout Options, consist of a substantially equal number of Class A Earnout Shares, Class B Earnout Shares, and Class C Earnout Shares, which will automatically convert into common shares of the Company if, on or before July 10, 2031, the volume weighted average price of the Company's common shares equals or exceeds each of $15.00, $20.00 and $25.00, respectively, for any 20 trading days within any period of 30 consecutive trading days.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Michel Laberge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95"/>
        <w:jc w:val="center"/>
        <w:rPr>
          <w:b/>
        </w:rPr>
      </w:pPr>
      <w:bookmarkStart w:id="2" w:name="ex24-07212026_090751.htm"/>
      <w:bookmarkStart w:id="3" w:name="ksex2407212026_090751"/>
      <w:bookmarkEnd w:id="2"/>
      <w:bookmarkEnd w:id="3"/>
      <w:r>
        <w:rPr>
          <w:b/>
        </w:rPr>
        <w:t>POWER OF ATTORNEY</w:t>
      </w:r>
      <w:r>
        <w:br w:type="page"/>
      </w:r>
    </w:p>
    <w:p>
      <w:pPr>
        <w:pStyle w:val="TextBody"/>
        <w:bidi w:val="0"/>
        <w:spacing w:before="0" w:after="0"/>
        <w:ind w:left="0" w:right="0" w:firstLine="720"/>
        <w:jc w:val="both"/>
        <w:rPr/>
      </w:pPr>
      <w:r>
        <w:rPr/>
        <w:t>Know all by these presents, that the undersigned hereby makes, constitutes and appoints each of Ben A. Stacke, Griffin D. Foster, Yona E. Isaacs, Amanda M. Ibrahim, Kareem S. Tawfic, Caroline E. Keefe, Amra Hoso and RoxAnn D. Mack, with full power of substitution and re-substitution, acting individually, as the undersigned’s true and lawful attorney-in-fact (each of such persons and their substitutes hereafter referred to as an “</w:t>
      </w:r>
      <w:r>
        <w:rPr>
          <w:i/>
        </w:rPr>
        <w:t>Attorney-in-Fact</w:t>
      </w:r>
      <w:r>
        <w:rPr/>
        <w:t>”), with full power and authority as hereinafter described on behalf of and in the undersigned’s name, place and stead, in any and all capacities to:</w:t>
      </w:r>
    </w:p>
    <w:p>
      <w:pPr>
        <w:pStyle w:val="TextBody"/>
        <w:pBdr/>
        <w:bidi w:val="0"/>
        <w:spacing w:before="0" w:after="0"/>
        <w:ind w:left="0" w:right="0" w:hanging="30"/>
        <w:jc w:val="both"/>
        <w:rPr/>
      </w:pPr>
      <w:r>
        <w:rPr/>
        <w:t>take such actions as may be necessary or appropriate to enable the undersigned to submit and file forms, schedules, and other documents with the U.S. Securities and Exchange Commission (“</w:t>
      </w:r>
      <w:r>
        <w:rPr>
          <w:i/>
        </w:rPr>
        <w:t>SEC</w:t>
      </w:r>
      <w:r>
        <w:rPr/>
        <w:t>”) via the Electronic Data Gathering and Retrieval (“</w:t>
      </w:r>
      <w:r>
        <w:rPr>
          <w:i/>
        </w:rPr>
        <w:t>EDGAR</w:t>
      </w:r>
      <w:r>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General Fusion Group Ltd. (the “</w:t>
      </w:r>
      <w:r>
        <w:rPr>
          <w:i/>
        </w:rPr>
        <w:t>Company</w:t>
      </w:r>
      <w:r>
        <w:rPr/>
        <w:t>”) and other appropriate entities authority from the undersigned’s EDGAR account, and (d) taking any other actions contemplated by Rule 10 of Regulation 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pPr>
      <w:r>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i/>
        </w:rPr>
        <w:t>Exchange Act</w:t>
      </w:r>
      <w:r>
        <w:rPr/>
        <w:t>”) the rules and regulations promulgated thereunder, and Forms 144 in accordance with Rule 144 under the Securities Act of 1933, as amended (the “</w:t>
      </w:r>
      <w:r>
        <w:rPr>
          <w:i/>
        </w:rPr>
        <w:t>Securities Act</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0"/>
        <w:ind w:left="0" w:right="0" w:hanging="30"/>
        <w:jc w:val="both"/>
        <w:rPr/>
      </w:pPr>
      <w:r>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0"/>
        <w:ind w:left="0" w:right="0" w:hanging="30"/>
        <w:jc w:val="both"/>
        <w:rPr/>
      </w:pPr>
      <w:r>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195"/>
        <w:jc w:val="both"/>
        <w:rPr/>
      </w:pPr>
      <w:r>
        <w:rPr/>
      </w:r>
    </w:p>
    <w:p>
      <w:pPr>
        <w:pStyle w:val="TextBody"/>
        <w:bidi w:val="0"/>
        <w:spacing w:before="60" w:after="0"/>
        <w:jc w:val="left"/>
        <w:rPr/>
      </w:pPr>
      <w:r>
        <w:rPr/>
      </w:r>
    </w:p>
    <w:p>
      <w:pPr>
        <w:pStyle w:val="HorizontalLine"/>
        <w:pBdr>
          <w:bottom w:val="single" w:sz="6" w:space="0" w:color="808080"/>
        </w:pBdr>
        <w:bidi w:val="0"/>
        <w:jc w:val="left"/>
        <w:rPr/>
      </w:pPr>
      <w:r>
        <w:rPr/>
      </w:r>
      <w:r>
        <w:br w:type="page"/>
      </w:r>
    </w:p>
    <w:p>
      <w:pPr>
        <w:pStyle w:val="TextBody"/>
        <w:bidi w:val="0"/>
        <w:spacing w:before="0" w:after="195"/>
        <w:jc w:val="both"/>
        <w:rPr/>
      </w:pPr>
      <w:r>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195"/>
        <w:jc w:val="both"/>
        <w:rPr/>
      </w:pPr>
      <w:r>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390"/>
        <w:jc w:val="both"/>
        <w:rPr/>
      </w:pPr>
      <w:r>
        <w:rPr/>
        <w:t>IN WITNESS WHEREOF, the undersigned has caused this Power of Attorney to be executed as of July 2, 2026.</w:t>
      </w:r>
    </w:p>
    <w:p>
      <w:pPr>
        <w:pStyle w:val="TextBody"/>
        <w:pBdr/>
        <w:bidi w:val="0"/>
        <w:spacing w:before="0" w:after="0"/>
        <w:ind w:left="0" w:right="0" w:hanging="30"/>
        <w:jc w:val="both"/>
        <w:rPr>
          <w:u w:val="single"/>
        </w:rPr>
      </w:pPr>
      <w:r>
        <w:rPr>
          <w:u w:val="single"/>
        </w:rPr>
        <w:t>/s/ Michel Laberge</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715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571500" cy="350520"/>
                        </a:xfrm>
                        <a:prstGeom prst="rect"/>
                        <a:solidFill>
                          <a:srgbClr val="FFFFFF"/>
                        </a:solidFill>
                      </wps:spPr>
                      <wps:txbx>
                        <w:txbxContent>
                          <w:p>
                            <w:pPr>
                              <w:pStyle w:val="TextBody"/>
                              <w:bidi w:val="0"/>
                              <w:spacing w:before="0" w:after="283"/>
                              <w:jc w:val="left"/>
                              <w:rPr/>
                            </w:pPr>
                            <w:r>
                              <w:rPr/>
                              <w:t>Signature:</w:t>
                            </w:r>
                          </w:p>
                        </w:txbxContent>
                      </wps:txbx>
                      <wps:bodyPr anchor="t" lIns="0" tIns="0" rIns="0" bIns="0">
                        <a:noAutofit/>
                      </wps:bodyPr>
                    </wps:wsp>
                  </a:graphicData>
                </a:graphic>
              </wp:anchor>
            </w:drawing>
          </mc:Choice>
          <mc:Fallback>
            <w:pict>
              <v:rect style="position:absolute;rotation:-0;width: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Signature:</w:t>
                      </w:r>
                    </w:p>
                  </w:txbxContent>
                </v:textbox>
                <w10:wrap type="square" side="right"/>
              </v:rect>
            </w:pict>
          </mc:Fallback>
        </mc:AlternateContent>
      </w:r>
    </w:p>
    <w:p>
      <w:pPr>
        <w:pStyle w:val="TextBody"/>
        <w:pBdr/>
        <w:bidi w:val="0"/>
        <w:spacing w:before="0" w:after="390"/>
        <w:ind w:left="0" w:right="0" w:hanging="30"/>
        <w:jc w:val="both"/>
        <w:rPr/>
      </w:pPr>
      <w:r>
        <w:rPr/>
        <w:t>Michel Laberge</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715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bidi w:val="0"/>
        <w:spacing w:before="0" w:after="195"/>
        <w:jc w:val="both"/>
        <w:rPr/>
      </w:pPr>
      <w:r>
        <w:rPr/>
        <w:t>Province of British Columbia, Canada</w:t>
      </w:r>
    </w:p>
    <w:p>
      <w:pPr>
        <w:pStyle w:val="TextBody"/>
        <w:bidi w:val="0"/>
        <w:spacing w:before="0" w:after="390"/>
        <w:jc w:val="both"/>
        <w:rPr/>
      </w:pPr>
      <w:r>
        <w:rPr/>
        <w:t>This instrument was acknowledged before me on July 2, 2026 by Michel Laberge.</w:t>
      </w:r>
    </w:p>
    <w:p>
      <w:pPr>
        <w:pStyle w:val="TextBody"/>
        <w:pBdr/>
        <w:bidi w:val="0"/>
        <w:spacing w:before="0" w:after="0"/>
        <w:ind w:left="0" w:right="0" w:hanging="0"/>
        <w:jc w:val="both"/>
        <w:rPr>
          <w:u w:val="single"/>
        </w:rPr>
      </w:pPr>
      <w:r>
        <w:rPr>
          <w:u w:val="single"/>
        </w:rPr>
        <w:t>M. Joanna Cameron</w:t>
      </w:r>
    </w:p>
    <w:p>
      <w:pPr>
        <w:pStyle w:val="TextBody"/>
        <w:pBdr/>
        <w:bidi w:val="0"/>
        <w:spacing w:before="0" w:after="390"/>
        <w:jc w:val="both"/>
        <w:rPr/>
      </w:pPr>
      <w:r>
        <w:rPr/>
        <w:t>Notary Public</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070" TargetMode="External"/><Relationship Id="rId3" Type="http://schemas.openxmlformats.org/officeDocument/2006/relationships/hyperlink" Target="http://www.sec.gov/cgi-bin/browse-edgar?action=getcompany&amp;CIK=000207485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1833</Words>
  <Characters>9894</Characters>
  <CharactersWithSpaces>11584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