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42026_100937.xml.htm"/>
      <w:bookmarkStart w:id="1" w:name="ksform409042026_1009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Sorrells Christopher Dixon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6020 RUSS BAKER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V7B 1B4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BRITISH COLUMBIA,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General Fusion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GFUZ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6,818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11,065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are granted to the reporting person for no additional cash consideration, each of which represents a contingent right to receive one common share upon vesting of these RSUs in three equal annual installments, with the first installment vesting on July 13,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options vest in three equal annual installments, with the first installment vesting on July 13,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Griffin D. Foster, as attorney-in-fact for Christopher Sorrells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462" TargetMode="External"/><Relationship Id="rId5" Type="http://schemas.openxmlformats.org/officeDocument/2006/relationships/hyperlink" Target="http://www.sec.gov/cgi-bin/browse-edgar?action=getcompany&amp;CIK=00020748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3543</Characters>
  <CharactersWithSpaces>4116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