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7212026_090719.xml.htm"/>
      <w:bookmarkStart w:id="1" w:name="ksform307212026_09071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Harrison Norman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6020 RUSS BAKER WAY</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V7B 1B4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BRITISH COLUMBIA, CANADA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07/10/2026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General Fusion Group Ltd.</w:t>
              </w:r>
            </w:hyperlink>
            <w:r>
              <w:rPr/>
              <w:t xml:space="preserve"> [ </w:t>
            </w:r>
            <w:r>
              <w:rPr>
                <w:rFonts w:ascii="Times;serif" w:hAnsi="Times;serif"/>
                <w:color w:val="0000FF"/>
                <w:sz w:val="24"/>
                <w:shd w:fill="FFFFFF" w:val="clear"/>
              </w:rPr>
              <w:t>GFUZ</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09/13/2033</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3,421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09/11/2034</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1,711</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55,804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09/11/2035</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05/27/2036</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29,074</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8.95</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712</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Earnout Options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(3)(4)</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07/10/2031</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Earnout Shares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21,243</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0.01</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options vest in three substantially equal installments on the first, second and third anniversaries of the original date of grant by General Fusion Inc. (the "Legacy Company"), or in the case of Earnout Options, the first, second and third anniversaries of the original date of grant of the associated option award. All underlying shares that vested prior to the closing of the Legacy Company's business combination with Spring Valley Acquisition Corp. III (the "Business Combination") remained vested following their exchange for options of General Fusion Group Ltd. (the "Company"), and the Earnout Options associated with each option award retained the vesting history of the associated option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options vested as to 25% of the underlying shares on the first anniversary of the original date of grant by the Legacy Company, or in the case of Earnout Options, the first anniversary of the original date of grant of the associated option award, with the remaining shares vesting in 12 substantially equal quarterly installments thereafter. All underlying shares that vested prior to the closing of the Business Combination remained vested following their exchange for options of the Company, and the Earnout Options associated with each option award retained the vesting history of the associated option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vest as to 25% of the underlying shares on the first anniversary of the original date of grant by the Legacy Company, or in the case of Earnout Options, the first anniversary of the original date of grant of the associated option award, with the remaining shares vesting in 12 substantially equal quarterly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Earnout Shares, including the Earnout Shares underlying the Earnout Options, consist of a substantially equal number of Class A Earnout Shares, Class B Earnout Shares, and Class C Earnout Shares, which will automatically convert into common shares of the Company if, on or before July 10, 2031, the volume weighted average price of the Company's common shares equals or exceeds each of $15.00, $20.00 and $25.00, respectively, for any 20 trading days within any period of 30 consecutive trading days.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Griffin D. Foster, as attorney-in-fact for Norman Harrison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95"/>
        <w:jc w:val="center"/>
        <w:rPr>
          <w:b/>
        </w:rPr>
      </w:pPr>
      <w:bookmarkStart w:id="2" w:name="ex24-07212026_090728.htm"/>
      <w:bookmarkStart w:id="3" w:name="ksex2407212026_090728"/>
      <w:bookmarkEnd w:id="2"/>
      <w:bookmarkEnd w:id="3"/>
      <w:r>
        <w:rPr>
          <w:b/>
        </w:rPr>
        <w:t>POWER OF ATTORNEY</w:t>
      </w:r>
      <w:r>
        <w:br w:type="page"/>
      </w:r>
    </w:p>
    <w:p>
      <w:pPr>
        <w:pStyle w:val="TextBody"/>
        <w:bidi w:val="0"/>
        <w:spacing w:before="0" w:after="0"/>
        <w:ind w:left="0" w:right="0" w:firstLine="720"/>
        <w:jc w:val="both"/>
        <w:rPr/>
      </w:pPr>
      <w:r>
        <w:rPr/>
        <w:t>Know all by these presents, that the undersigned hereby makes, constitutes and appoints each of Ben A. Stacke, Griffin D. Foster, Yona E. Isaacs, Amanda M. Ibrahim, Kareem S. Tawfic, Caroline E. Keefe, Amra Hoso and RoxAnn D. Mack, with full power of substitution and re-substitution, acting individually, as the undersigned’s true and lawful attorney-in-fact (each of such persons and their substitutes hereafter referred to as an “</w:t>
      </w:r>
      <w:r>
        <w:rPr>
          <w:i/>
        </w:rPr>
        <w:t>Attorney-in-Fact</w:t>
      </w:r>
      <w:r>
        <w:rPr/>
        <w:t>”), with full power and authority as hereinafter described on behalf of and in the undersigned’s name, place and stead, in any and all capacities to:</w:t>
      </w:r>
    </w:p>
    <w:p>
      <w:pPr>
        <w:pStyle w:val="TextBody"/>
        <w:pBdr/>
        <w:bidi w:val="0"/>
        <w:spacing w:before="0" w:after="0"/>
        <w:ind w:left="0" w:right="0" w:hanging="30"/>
        <w:jc w:val="both"/>
        <w:rPr/>
      </w:pPr>
      <w:r>
        <w:rPr/>
        <w:t>take such actions as may be necessary or appropriate to enable the undersigned to submit and file forms, schedules, and other documents with the U.S. Securities and Exchange Commission (“</w:t>
      </w:r>
      <w:r>
        <w:rPr>
          <w:i/>
        </w:rPr>
        <w:t>SEC</w:t>
      </w:r>
      <w:r>
        <w:rPr/>
        <w:t>”) via the Electronic Data Gathering and Retrieval (“</w:t>
      </w:r>
      <w:r>
        <w:rPr>
          <w:i/>
        </w:rPr>
        <w:t>EDGAR</w:t>
      </w:r>
      <w:r>
        <w:rPr/>
        <w:t>”) system, which actions may include (a) preparing, executing, and submitting to the SEC a Form ID, amendments thereto, and such other documents and other information as may be necessary or appropriate to obtain all necessary credentials (including codes or passwords) enabling filings and submissions on behalf of the undersigned via the EDGAR system, (b) acting as an account administrator for the undersigned’s EDGAR account, (c) delegating to General Fusion Group Ltd. (the “</w:t>
      </w:r>
      <w:r>
        <w:rPr>
          <w:i/>
        </w:rPr>
        <w:t>Company</w:t>
      </w:r>
      <w:r>
        <w:rPr/>
        <w:t>”) and other appropriate entities authority from the undersigned’s EDGAR account, and (d) taking any other actions contemplated by Rule 10 of Regulation ST;</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22860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0"/>
        <w:ind w:left="0" w:right="0" w:hanging="30"/>
        <w:jc w:val="both"/>
        <w:rPr/>
      </w:pPr>
      <w:r>
        <w:rPr/>
        <w:t>prepare, execute and submit to the SEC, the Company, and any national securities exchange on which the Company’s securities are listed, for and on behalf of the undersigned and in the undersigned’s capacity as an officer and/or director of the Company, any and all reports (including any amendments thereto) that are required to be filed with such body, or which any Attorney-in-Fact considers advisable to file with such body, including but not limited to Forms 3, 4 and 5 relating to the Company in accordance with Section 16(a) of the Securities Exchange Act of 1934, as amended (the “</w:t>
      </w:r>
      <w:r>
        <w:rPr>
          <w:i/>
        </w:rPr>
        <w:t>Exchange Act</w:t>
      </w:r>
      <w:r>
        <w:rPr/>
        <w:t>”) the rules and regulations promulgated thereunder, and Forms 144 in accordance with Rule 144 under the Securities Act of 1933, as amended (the “</w:t>
      </w:r>
      <w:r>
        <w:rPr>
          <w:i/>
        </w:rPr>
        <w:t>Securities Act</w:t>
      </w:r>
      <w:r>
        <w:rPr/>
        <w:t>”);</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22860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0"/>
        <w:ind w:left="0" w:right="0" w:hanging="30"/>
        <w:jc w:val="both"/>
        <w:rPr/>
      </w:pPr>
      <w:r>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third parties to release any such information to any Attorney-in-Fact and further approves and ratifies any such release of information;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22860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0"/>
        <w:ind w:left="0" w:right="0" w:hanging="30"/>
        <w:jc w:val="both"/>
        <w:rPr/>
      </w:pPr>
      <w:r>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2286000" cy="175260"/>
                <wp:effectExtent l="0" t="0" r="0" b="0"/>
                <wp:wrapSquare wrapText="right"/>
                <wp:docPr id="6" name="Frame4"/>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0"/>
        <w:ind w:left="0" w:right="0" w:hanging="30"/>
        <w:jc w:val="both"/>
        <w:rPr/>
      </w:pPr>
      <w:r>
        <w:rPr/>
        <w:t>take any other action of any type whatsoever in connection with the foregoing that such Attorney-in-Fact reasonably believes may be of benefit to, in the best interest of, or legally required of, the undersigned, it being understood that the documents executed by such Attorney-in-Fact on behalf of the undersigned pursuant to this Power of Attorney will be in such form and will contain such disclosure, information, terms and conditions as such Attorney-in-Fact, in such Attorney-in-Fact’s sole discretion, deems necessary or advisable.</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286000" cy="175260"/>
                <wp:effectExtent l="0" t="0" r="0" b="0"/>
                <wp:wrapSquare wrapText="right"/>
                <wp:docPr id="7" name="Frame5"/>
                <a:graphic xmlns:a="http://schemas.openxmlformats.org/drawingml/2006/main">
                  <a:graphicData uri="http://schemas.microsoft.com/office/word/2010/wordprocessingShape">
                    <wps:wsp>
                      <wps:cNvSpPr txBox="1"/>
                      <wps:spPr>
                        <a:xfrm>
                          <a:off x="0" y="0"/>
                          <a:ext cx="22860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18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bidi w:val="0"/>
        <w:spacing w:before="0" w:after="195"/>
        <w:jc w:val="both"/>
        <w:rPr/>
      </w:pPr>
      <w:r>
        <w:rPr/>
      </w:r>
    </w:p>
    <w:p>
      <w:pPr>
        <w:pStyle w:val="TextBody"/>
        <w:bidi w:val="0"/>
        <w:spacing w:before="60" w:after="0"/>
        <w:jc w:val="left"/>
        <w:rPr>
          <w:sz w:val="12"/>
        </w:rPr>
      </w:pPr>
      <w:r>
        <w:rPr>
          <w:sz w:val="12"/>
        </w:rPr>
        <w:t>DMS_US.378218113.1</w:t>
      </w:r>
    </w:p>
    <w:p>
      <w:pPr>
        <w:pStyle w:val="HorizontalLine"/>
        <w:pBdr>
          <w:bottom w:val="single" w:sz="6" w:space="0" w:color="808080"/>
        </w:pBdr>
        <w:bidi w:val="0"/>
        <w:jc w:val="left"/>
        <w:rPr/>
      </w:pPr>
      <w:r>
        <w:rPr/>
      </w:r>
      <w:r>
        <w:br w:type="page"/>
      </w:r>
    </w:p>
    <w:p>
      <w:pPr>
        <w:pStyle w:val="TextBody"/>
        <w:bidi w:val="0"/>
        <w:spacing w:before="0" w:after="195"/>
        <w:jc w:val="both"/>
        <w:rPr/>
      </w:pPr>
      <w:r>
        <w:rPr/>
        <w:t>The undersigned hereby acknowledges that (a) the foregoing Attorneys-in-Fact are serving in such capacity at the request of the undersigned; (b) this Power of Attorney authorizes, but does not require, each such Attorney-in-Fact to act in the Attorney-in-Fact’s discretion on information provided to such Attorney-in-Fact without independent verification of such information; (c) none of the Company, each Attorney-in-Fact, and any law firm of which an Attorney-in-Fact is an employee or member assumes (i) any liability for the undersigned’s responsibility to timely comply with the requirements of the Exchange Act or the Securities Act, (ii) any liability of the undersigned for any failure to comply with such requirements, (iii) any liability for any action or inaction by an Attorney-in-Fact relating to their service as an account administrator for the undersigned’s EDGAR account, or (iv) any obligation or liability of the undersigned for profit disgorgement under Section 16(b) of the Exchange Act; and (d) this Power of Attorney does not relieve the undersigned from responsibility for compliance with any of the undersigned’s beneficial ownership and other reporting obligations under the Exchange Act and the Securities Act.</w:t>
      </w:r>
    </w:p>
    <w:p>
      <w:pPr>
        <w:pStyle w:val="TextBody"/>
        <w:bidi w:val="0"/>
        <w:spacing w:before="0" w:after="195"/>
        <w:jc w:val="both"/>
        <w:rPr/>
      </w:pPr>
      <w:r>
        <w:rPr/>
        <w:t>This Power of Attorney will remain in full force and effect until the undersigned is no longer required to file with the SEC reports or notices with respect to the undersigned’s holdings of, and transactions in, securities issued by the Company, unless earlier revoked as to any Attorney-in-Fact by the undersigned in a signed writing delivered to such Attorney-in-Fact. Notwithstanding the foregoing, if any such Attorney-in-Fact hereafter ceases to be at least one of the following: (1) an employee of the Company, or (2) a partner or employee of Faegre Drinker Biddle &amp; Reath LLP, then this Power of Attorney will be automatically revoked solely as to such individual, immediately upon such cessation, without any further action by the undersigned.</w:t>
      </w:r>
    </w:p>
    <w:p>
      <w:pPr>
        <w:pStyle w:val="TextBody"/>
        <w:bidi w:val="0"/>
        <w:spacing w:before="0" w:after="390"/>
        <w:jc w:val="both"/>
        <w:rPr/>
      </w:pPr>
      <w:r>
        <w:rPr/>
        <w:t>IN WITNESS WHEREOF, the undersigned has caused this Power of Attorney to be executed as of July 8, 2026.</w:t>
      </w:r>
    </w:p>
    <w:p>
      <w:pPr>
        <w:pStyle w:val="TextBody"/>
        <w:pBdr/>
        <w:bidi w:val="0"/>
        <w:spacing w:before="0" w:after="0"/>
        <w:ind w:left="0" w:right="0" w:hanging="30"/>
        <w:jc w:val="both"/>
        <w:rPr>
          <w:u w:val="single"/>
        </w:rPr>
      </w:pPr>
      <w:r>
        <w:rPr>
          <w:u w:val="single"/>
        </w:rPr>
        <w:t>/s/ Norman Harrison</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5715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571500" cy="350520"/>
                        </a:xfrm>
                        <a:prstGeom prst="rect"/>
                        <a:solidFill>
                          <a:srgbClr val="FFFFFF"/>
                        </a:solidFill>
                      </wps:spPr>
                      <wps:txbx>
                        <w:txbxContent>
                          <w:p>
                            <w:pPr>
                              <w:pStyle w:val="TextBody"/>
                              <w:bidi w:val="0"/>
                              <w:spacing w:before="0" w:after="283"/>
                              <w:jc w:val="left"/>
                              <w:rPr/>
                            </w:pPr>
                            <w:r>
                              <w:rPr/>
                              <w:t>Signature:</w:t>
                            </w:r>
                          </w:p>
                        </w:txbxContent>
                      </wps:txbx>
                      <wps:bodyPr anchor="t" lIns="0" tIns="0" rIns="0" bIns="0">
                        <a:noAutofit/>
                      </wps:bodyPr>
                    </wps:wsp>
                  </a:graphicData>
                </a:graphic>
              </wp:anchor>
            </w:drawing>
          </mc:Choice>
          <mc:Fallback>
            <w:pict>
              <v:rect style="position:absolute;rotation:-0;width:4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Signature:</w:t>
                      </w:r>
                    </w:p>
                  </w:txbxContent>
                </v:textbox>
                <w10:wrap type="square" side="right"/>
              </v:rect>
            </w:pict>
          </mc:Fallback>
        </mc:AlternateContent>
      </w:r>
    </w:p>
    <w:p>
      <w:pPr>
        <w:pStyle w:val="TextBody"/>
        <w:pBdr/>
        <w:bidi w:val="0"/>
        <w:spacing w:before="0" w:after="390"/>
        <w:ind w:left="0" w:right="0" w:hanging="30"/>
        <w:jc w:val="both"/>
        <w:rPr/>
      </w:pPr>
      <w:r>
        <w:rPr/>
        <w:t>Norman Harrison</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571500" cy="175260"/>
                <wp:effectExtent l="0" t="0" r="0" b="0"/>
                <wp:wrapSquare wrapText="right"/>
                <wp:docPr id="9" name="Frame7"/>
                <a:graphic xmlns:a="http://schemas.openxmlformats.org/drawingml/2006/main">
                  <a:graphicData uri="http://schemas.microsoft.com/office/word/2010/wordprocessingShape">
                    <wps:wsp>
                      <wps:cNvSpPr txBox="1"/>
                      <wps:spPr>
                        <a:xfrm>
                          <a:off x="0" y="0"/>
                          <a:ext cx="571500" cy="175260"/>
                        </a:xfrm>
                        <a:prstGeom prst="rect"/>
                        <a:solidFill>
                          <a:srgbClr val="FFFFFF"/>
                        </a:solidFill>
                      </wps:spPr>
                      <wps:txbx>
                        <w:txbxContent>
                          <w:p>
                            <w:pPr>
                              <w:pStyle w:val="TextBody"/>
                              <w:bidi w:val="0"/>
                              <w:spacing w:before="0" w:after="283"/>
                              <w:jc w:val="left"/>
                              <w:rPr/>
                            </w:pPr>
                            <w:r>
                              <w:rPr/>
                              <w:t>Name:</w:t>
                            </w:r>
                          </w:p>
                        </w:txbxContent>
                      </wps:txbx>
                      <wps:bodyPr anchor="t" lIns="0" tIns="0" rIns="0" bIns="0">
                        <a:noAutofit/>
                      </wps:bodyPr>
                    </wps:wsp>
                  </a:graphicData>
                </a:graphic>
              </wp:anchor>
            </w:drawing>
          </mc:Choice>
          <mc:Fallback>
            <w:pict>
              <v:rect style="position:absolute;rotation:-0;width:45pt;height:13.8pt;mso-wrap-distance-left:0pt;mso-wrap-distance-right:0pt;mso-wrap-distance-top:0pt;mso-wrap-distance-bottom:0pt;margin-top:0pt;mso-position-vertical:top;mso-position-vertical-relative:text;margin-left:45pt;mso-position-horizontal:left;mso-position-horizontal-relative:text">
                <v:textbox>
                  <w:txbxContent>
                    <w:p>
                      <w:pPr>
                        <w:pStyle w:val="TextBody"/>
                        <w:bidi w:val="0"/>
                        <w:spacing w:before="0" w:after="283"/>
                        <w:jc w:val="left"/>
                        <w:rPr/>
                      </w:pPr>
                      <w:r>
                        <w:rPr/>
                        <w:t>Name:</w:t>
                      </w:r>
                    </w:p>
                  </w:txbxContent>
                </v:textbox>
                <w10:wrap type="square" side="right"/>
              </v:rect>
            </w:pict>
          </mc:Fallback>
        </mc:AlternateContent>
      </w:r>
    </w:p>
    <w:p>
      <w:pPr>
        <w:pStyle w:val="TextBody"/>
        <w:bidi w:val="0"/>
        <w:spacing w:before="0" w:after="195"/>
        <w:jc w:val="both"/>
        <w:rPr/>
      </w:pPr>
      <w:r>
        <w:rPr/>
        <w:t>STATE OF NEW YORK</w:t>
      </w:r>
    </w:p>
    <w:p>
      <w:pPr>
        <w:pStyle w:val="TextBody"/>
        <w:bidi w:val="0"/>
        <w:spacing w:before="0" w:after="195"/>
        <w:jc w:val="both"/>
        <w:rPr/>
      </w:pPr>
      <w:r>
        <w:rPr/>
        <w:t>COUNTY OF SUFFOLK</w:t>
      </w:r>
    </w:p>
    <w:p>
      <w:pPr>
        <w:pStyle w:val="TextBody"/>
        <w:bidi w:val="0"/>
        <w:spacing w:before="0" w:after="390"/>
        <w:jc w:val="both"/>
        <w:rPr/>
      </w:pPr>
      <w:r>
        <w:rPr/>
        <w:t>This instrument was acknowledged before me on July 8, 2026 by Norman Harrison.</w:t>
      </w:r>
    </w:p>
    <w:p>
      <w:pPr>
        <w:pStyle w:val="TextBody"/>
        <w:pBdr/>
        <w:bidi w:val="0"/>
        <w:spacing w:before="0" w:after="0"/>
        <w:ind w:left="0" w:right="0" w:hanging="0"/>
        <w:jc w:val="both"/>
        <w:rPr>
          <w:u w:val="single"/>
        </w:rPr>
      </w:pPr>
      <w:r>
        <w:rPr>
          <w:u w:val="single"/>
        </w:rPr>
        <w:t>/s/ Ariel Leigh Grimaldi</w:t>
      </w:r>
    </w:p>
    <w:p>
      <w:pPr>
        <w:pStyle w:val="TextBody"/>
        <w:pBdr/>
        <w:bidi w:val="0"/>
        <w:spacing w:before="0" w:after="390"/>
        <w:jc w:val="both"/>
        <w:rPr/>
      </w:pPr>
      <w:r>
        <w:rPr/>
        <w:t>Notary Public</w:t>
      </w:r>
    </w:p>
    <w:p>
      <w:pPr>
        <w:pStyle w:val="TextBody"/>
        <w:pBdr/>
        <w:bidi w:val="0"/>
        <w:spacing w:before="0" w:after="0"/>
        <w:ind w:left="0" w:right="0" w:hanging="0"/>
        <w:jc w:val="both"/>
        <w:rPr/>
      </w:pPr>
      <w:r>
        <w:rPr/>
        <w:t>My Commission Expires: July 2, 2028</w:t>
      </w:r>
    </w:p>
    <w:p>
      <w:pPr>
        <w:pStyle w:val="TextBody"/>
        <w:bidi w:val="0"/>
        <w:spacing w:before="0" w:after="0"/>
        <w:ind w:left="0" w:right="0" w:hanging="0"/>
        <w:jc w:val="both"/>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4479" TargetMode="External"/><Relationship Id="rId3" Type="http://schemas.openxmlformats.org/officeDocument/2006/relationships/hyperlink" Target="http://www.sec.gov/cgi-bin/browse-edgar?action=getcompany&amp;CIK=000207485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1783</Words>
  <Characters>9657</Characters>
  <CharactersWithSpaces>11310</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